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 xml:space="preserve">Kinnitatud </w:t>
      </w:r>
      <w:r w:rsidR="00454E83">
        <w:rPr>
          <w:rFonts w:ascii="Times New Roman" w:hAnsi="Times New Roman" w:cs="Times New Roman"/>
        </w:rPr>
        <w:t>11</w:t>
      </w:r>
      <w:r w:rsidRPr="00C7052C">
        <w:rPr>
          <w:rFonts w:ascii="Times New Roman" w:hAnsi="Times New Roman" w:cs="Times New Roman"/>
        </w:rPr>
        <w:t>.</w:t>
      </w:r>
      <w:r w:rsidR="00454E83">
        <w:rPr>
          <w:rFonts w:ascii="Times New Roman" w:hAnsi="Times New Roman" w:cs="Times New Roman"/>
        </w:rPr>
        <w:t>06</w:t>
      </w:r>
      <w:bookmarkStart w:id="0" w:name="_GoBack"/>
      <w:bookmarkEnd w:id="0"/>
      <w:r w:rsidRPr="00C7052C">
        <w:rPr>
          <w:rFonts w:ascii="Times New Roman" w:hAnsi="Times New Roman" w:cs="Times New Roman"/>
        </w:rPr>
        <w:t>.2018</w:t>
      </w:r>
    </w:p>
    <w:p w:rsidR="005F1114" w:rsidRPr="00C7052C" w:rsidRDefault="007E4F5A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</w:t>
      </w:r>
      <w:r w:rsidR="005F1114" w:rsidRPr="00C7052C">
        <w:rPr>
          <w:rFonts w:ascii="Times New Roman" w:hAnsi="Times New Roman" w:cs="Times New Roman"/>
        </w:rPr>
        <w:t>vallavanema käskkirjaga</w:t>
      </w:r>
    </w:p>
    <w:p w:rsidR="005F1114" w:rsidRPr="006D712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6D7124">
        <w:rPr>
          <w:rFonts w:ascii="Times New Roman" w:hAnsi="Times New Roman" w:cs="Times New Roman"/>
        </w:rPr>
        <w:t xml:space="preserve">nr </w:t>
      </w:r>
      <w:r w:rsidR="00454E83">
        <w:rPr>
          <w:rFonts w:ascii="Times New Roman" w:hAnsi="Times New Roman" w:cs="Times New Roman"/>
        </w:rPr>
        <w:t>13-1/18-131</w:t>
      </w:r>
    </w:p>
    <w:p w:rsidR="005F1114" w:rsidRPr="00C7052C" w:rsidRDefault="00C7052C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>Lisa 1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LÄÄNE-NIGULA VALLAVALITSUSE</w:t>
      </w:r>
    </w:p>
    <w:p w:rsidR="007E4F5A" w:rsidRDefault="00136E49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NÕVA</w:t>
      </w:r>
      <w:r w:rsidR="007E4F5A">
        <w:rPr>
          <w:rFonts w:ascii="Times New Roman" w:hAnsi="Times New Roman" w:cs="Times New Roman"/>
          <w:b/>
          <w:sz w:val="28"/>
          <w:szCs w:val="28"/>
        </w:rPr>
        <w:t xml:space="preserve"> OSAVALLA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OSAVALLASEKRETÄRI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7E4F5A">
        <w:tc>
          <w:tcPr>
            <w:tcW w:w="9062" w:type="dxa"/>
            <w:gridSpan w:val="2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136E49" w:rsidP="001D160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Nõva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 osavallavalitsus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CC5571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osavallasekreär</w:t>
            </w:r>
            <w:proofErr w:type="spellEnd"/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7E4F5A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r w:rsidR="0048269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7E4F5A">
        <w:tc>
          <w:tcPr>
            <w:tcW w:w="9062" w:type="dxa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1D1608" w:rsidRDefault="001D1608" w:rsidP="00136E49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08">
              <w:rPr>
                <w:rFonts w:ascii="Times New Roman" w:hAnsi="Times New Roman" w:cs="Times New Roman"/>
                <w:sz w:val="24"/>
                <w:szCs w:val="24"/>
              </w:rPr>
              <w:t xml:space="preserve">Teenistuskoha eesmärk on 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136E49">
              <w:rPr>
                <w:rFonts w:ascii="Times New Roman" w:hAnsi="Times New Roman" w:cs="Times New Roman"/>
                <w:sz w:val="24"/>
                <w:szCs w:val="24"/>
              </w:rPr>
              <w:t>Nõva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 Osavallavalitsuse teenistuse korralduse tagamine.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7E4F5A">
        <w:tc>
          <w:tcPr>
            <w:tcW w:w="9062" w:type="dxa"/>
            <w:gridSpan w:val="2"/>
            <w:shd w:val="clear" w:color="auto" w:fill="9999FF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7E4F5A" w:rsidTr="007E4F5A"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Töö kirjeldus</w:t>
            </w:r>
          </w:p>
        </w:tc>
      </w:tr>
      <w:tr w:rsidR="007E4F5A" w:rsidTr="007E4F5A">
        <w:tc>
          <w:tcPr>
            <w:tcW w:w="4531" w:type="dxa"/>
          </w:tcPr>
          <w:p w:rsidR="007E4F5A" w:rsidRDefault="007E4F5A" w:rsidP="00136E49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 </w:t>
            </w:r>
            <w:r w:rsidR="00136E49">
              <w:rPr>
                <w:rFonts w:ascii="Times New Roman" w:eastAsia="Times New Roman" w:hAnsi="Times New Roman" w:cs="Times New Roman"/>
                <w:sz w:val="24"/>
              </w:rPr>
              <w:t>Nõva</w:t>
            </w:r>
            <w:r w:rsidR="000F3A1F">
              <w:rPr>
                <w:rFonts w:ascii="Times New Roman" w:eastAsia="Times New Roman" w:hAnsi="Times New Roman" w:cs="Times New Roman"/>
                <w:sz w:val="24"/>
              </w:rPr>
              <w:t xml:space="preserve"> 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valitsuse teenistuse korraldamine.</w:t>
            </w:r>
          </w:p>
        </w:tc>
        <w:tc>
          <w:tcPr>
            <w:tcW w:w="4531" w:type="dxa"/>
          </w:tcPr>
          <w:p w:rsidR="007E4F5A" w:rsidRDefault="00637D54" w:rsidP="007E4F5A">
            <w:pPr>
              <w:spacing w:line="229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3A1F"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valitsust külastavate klientide teenindamine, abistamine avalduste ja dokumentide täitmisel, abistamine suhtlemisel riigiasutuste, kommunaalettevõtete ja teiste LääneNigula valla institutsioonidega, vajadusel sularaha maksete vastuvõtmine ja sellekohase arvestuse pidamine;</w:t>
            </w:r>
          </w:p>
          <w:p w:rsidR="007E4F5A" w:rsidRDefault="00637D54" w:rsidP="007E4F5A">
            <w:pPr>
              <w:spacing w:line="23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3A1F"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valitsuse teenistuseks vajalike büroo (vahendite) materjalide olemasolu tagamine, vallavalitsuse töös vajaminevate dokumendiblankettide tellimine koostöös vallakantseleiga;</w:t>
            </w:r>
          </w:p>
          <w:p w:rsidR="007E4F5A" w:rsidRDefault="00637D54" w:rsidP="007E4F5A">
            <w:pPr>
              <w:spacing w:line="230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laekunud ametlike dokumentide registreerimine dokumendihaldussüsteemis DELTA, vajadusel sidumine teiste dokumentidega ning suunamine täitmiseks, kooskõlastamiseks ja allkirjastamiseks;</w:t>
            </w:r>
          </w:p>
          <w:p w:rsidR="007E4F5A" w:rsidRDefault="00637D54" w:rsidP="007E4F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ametikirjade koostamine, registreerimine ja suunamine vastavalt haldusdokumentidele esitatud nõuetele;</w:t>
            </w:r>
          </w:p>
          <w:p w:rsidR="007E4F5A" w:rsidRDefault="00637D54" w:rsidP="007E4F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e-posti edast</w:t>
            </w:r>
            <w:r>
              <w:rPr>
                <w:rFonts w:ascii="Times New Roman" w:eastAsia="Times New Roman" w:hAnsi="Times New Roman" w:cs="Times New Roman"/>
                <w:sz w:val="24"/>
              </w:rPr>
              <w:t>amine ja vastamine;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4"/>
              </w:rPr>
              <w:t>ikõnedele vastamine, suunamine;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paljund</w:t>
            </w:r>
            <w:r>
              <w:rPr>
                <w:rFonts w:ascii="Times New Roman" w:eastAsia="Times New Roman" w:hAnsi="Times New Roman" w:cs="Times New Roman"/>
                <w:sz w:val="24"/>
              </w:rPr>
              <w:t>usteenuse osutamine kodanikele;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tõe</w:t>
            </w:r>
            <w:r>
              <w:rPr>
                <w:rFonts w:ascii="Times New Roman" w:eastAsia="Times New Roman" w:hAnsi="Times New Roman" w:cs="Times New Roman"/>
                <w:sz w:val="24"/>
              </w:rPr>
              <w:t>ndite ja õiendite väljastamine;</w:t>
            </w:r>
          </w:p>
          <w:p w:rsidR="007E4F5A" w:rsidRDefault="00637D54" w:rsidP="007E4F5A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asutuse esmaabikapi korras hoidmine ja varude täiendamine.</w:t>
            </w:r>
          </w:p>
        </w:tc>
      </w:tr>
      <w:tr w:rsidR="007E4F5A" w:rsidTr="007E4F5A">
        <w:tc>
          <w:tcPr>
            <w:tcW w:w="4531" w:type="dxa"/>
          </w:tcPr>
          <w:p w:rsidR="007E4F5A" w:rsidRPr="00637D54" w:rsidRDefault="00637D54" w:rsidP="00637D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3.1.2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Osavallakogu koosolekute, vallavolikogu istungite ja volikogu komisjonide istungite teenindamine.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Osavallakogu koosolekute protokollimine,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valitsuse ja teiste nõupidamiste ning vallavolikogu istungite ning volikogu komisjonide koosolekute tehniline teenindamine koostöös vallasekretäri ja vallakantseleiga. Osavallakogu koosolekute osalejate üle arvestuse pidamine ja selle edastamine vallakantseleile.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3.1.3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Rahvastikuregistri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Rahvastikuregistri andmete töötlemine ja väljatrükkide väljastamine selleks õigustatud isikutele. Sünni- ja surmakannete koostamine, sünni- ja surmatõendite väljastamine.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3.1.4 Valla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veebilehe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Valla veebilehel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tegevusvaldkonnaga seotud info avaldamine ja uuendamine.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3.1.5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Valla ajaleht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Valla ajalehe materjali kogumine ja andmete esitamine valla ajalehe toimetajale.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3.1.6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Registrite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Koostöös valdkonna spetsialistiga ehitisregistri, jäätmevaldajate registri, lemmiklooma registri ja kalmisturegistri pidamine.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3.1.7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Muude seadusest tulenevate, ametikohaga seotud ülesannete täitmine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Teised seadusest ja Lääne-Nigula valla õigusaktidest tulenevate ülesannete täitmine (s.h oma asutuse dokumentide arhiveerimine koostöös vallakantseleiga).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3.1.8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Osavallavanema poolt antud ühekordsete ametialaselt vajalike ülesannete täitmine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Osavallavanema poolt osavallavalitsuse töö korraldamise eesmärgil pandud ülesannete täitmine.</w:t>
            </w:r>
          </w:p>
        </w:tc>
      </w:tr>
      <w:tr w:rsidR="00281C2D" w:rsidTr="007E4F5A">
        <w:tc>
          <w:tcPr>
            <w:tcW w:w="4531" w:type="dxa"/>
          </w:tcPr>
          <w:p w:rsidR="00281C2D" w:rsidRDefault="00281C2D" w:rsidP="00281C2D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3.1.9 Töötervishoiu- ja tööohutus.</w:t>
            </w:r>
          </w:p>
        </w:tc>
        <w:tc>
          <w:tcPr>
            <w:tcW w:w="4531" w:type="dxa"/>
          </w:tcPr>
          <w:p w:rsidR="00281C2D" w:rsidRDefault="00281C2D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Osavallas töötervishoiu- ja tööohutuse korrektse dokumentatsiooni tagamine.</w:t>
            </w:r>
          </w:p>
        </w:tc>
      </w:tr>
      <w:tr w:rsidR="007E4F5A" w:rsidTr="007E4F5A">
        <w:tc>
          <w:tcPr>
            <w:tcW w:w="9062" w:type="dxa"/>
            <w:gridSpan w:val="2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7E4F5A" w:rsidTr="007E4F5A">
        <w:tc>
          <w:tcPr>
            <w:tcW w:w="9062" w:type="dxa"/>
            <w:gridSpan w:val="2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Teeb ko</w:t>
            </w:r>
            <w:r w:rsidR="00B23FDD">
              <w:rPr>
                <w:rFonts w:ascii="Times New Roman" w:eastAsia="Times New Roman" w:hAnsi="Times New Roman" w:cs="Times New Roman"/>
                <w:sz w:val="24"/>
              </w:rPr>
              <w:t>ostööd vallakantselei, 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valitsustega, vallavalitsuse struktuuriüksustega, hallatavate asutuste, vallavalitsuse teenistujatega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tööks vajalikke kontoritarbeid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281C2D">
        <w:tc>
          <w:tcPr>
            <w:tcW w:w="9062" w:type="dxa"/>
            <w:shd w:val="clear" w:color="auto" w:fill="9999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281C2D">
        <w:tc>
          <w:tcPr>
            <w:tcW w:w="9062" w:type="dxa"/>
            <w:shd w:val="clear" w:color="auto" w:fill="9999FF"/>
          </w:tcPr>
          <w:p w:rsidR="004213FB" w:rsidRPr="004213FB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Osavallasekretär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.2 Printer, </w:t>
            </w:r>
            <w:r w:rsidR="00281C2D">
              <w:rPr>
                <w:rFonts w:ascii="Times New Roman" w:hAnsi="Times New Roman" w:cs="Times New Roman"/>
                <w:sz w:val="24"/>
                <w:szCs w:val="24"/>
              </w:rPr>
              <w:t xml:space="preserve">skänner, 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.3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81C2D">
        <w:tc>
          <w:tcPr>
            <w:tcW w:w="9062" w:type="dxa"/>
            <w:shd w:val="clear" w:color="auto" w:fill="9999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keskharidus koos ametialase ettevalmistusega või kutsekeskharidus.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Üldjuhul vähemalt 1 aastat töökogemust teenistuskoha töövaldkonnas.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80D">
              <w:rPr>
                <w:rFonts w:ascii="Times New Roman" w:hAnsi="Times New Roman" w:cs="Times New Roman"/>
                <w:sz w:val="24"/>
                <w:szCs w:val="24"/>
              </w:rPr>
              <w:t>.5.3 Hea suhtlemisoskus.</w:t>
            </w:r>
          </w:p>
        </w:tc>
      </w:tr>
      <w:tr w:rsidR="00C4665F" w:rsidRPr="00C4665F" w:rsidTr="0023480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C946A5">
            <w:pPr>
              <w:pStyle w:val="Vahedeta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3480D">
        <w:tc>
          <w:tcPr>
            <w:tcW w:w="9062" w:type="dxa"/>
            <w:shd w:val="clear" w:color="auto" w:fill="9999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0F3A1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sectPr w:rsidR="00C4665F" w:rsidRPr="000F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ED"/>
    <w:multiLevelType w:val="hybridMultilevel"/>
    <w:tmpl w:val="E038408C"/>
    <w:lvl w:ilvl="0" w:tplc="8F320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9C0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CC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1FE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75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4D8F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8F3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E23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1DA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23C0"/>
    <w:multiLevelType w:val="hybridMultilevel"/>
    <w:tmpl w:val="50E835CC"/>
    <w:lvl w:ilvl="0" w:tplc="2D2099EE">
      <w:start w:val="4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9F2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445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700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2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CF60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5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50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2A15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0F3A1F"/>
    <w:rsid w:val="00126AC7"/>
    <w:rsid w:val="00136E49"/>
    <w:rsid w:val="001D1608"/>
    <w:rsid w:val="0023480D"/>
    <w:rsid w:val="00281C2D"/>
    <w:rsid w:val="00350601"/>
    <w:rsid w:val="00375360"/>
    <w:rsid w:val="004213FB"/>
    <w:rsid w:val="00454E83"/>
    <w:rsid w:val="00482697"/>
    <w:rsid w:val="005D0391"/>
    <w:rsid w:val="005F1114"/>
    <w:rsid w:val="00637D54"/>
    <w:rsid w:val="006D7124"/>
    <w:rsid w:val="007E4F5A"/>
    <w:rsid w:val="009D0E2A"/>
    <w:rsid w:val="00B23FDD"/>
    <w:rsid w:val="00B75E5F"/>
    <w:rsid w:val="00BB37CE"/>
    <w:rsid w:val="00C4665F"/>
    <w:rsid w:val="00C7052C"/>
    <w:rsid w:val="00C946A5"/>
    <w:rsid w:val="00CC5571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3</cp:revision>
  <dcterms:created xsi:type="dcterms:W3CDTF">2018-06-05T06:37:00Z</dcterms:created>
  <dcterms:modified xsi:type="dcterms:W3CDTF">2018-06-11T06:54:00Z</dcterms:modified>
</cp:coreProperties>
</file>